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7681054">
      <w:pPr>
        <w:jc w:val="both"/>
        <w:rPr>
          <w:rFonts w:hint="default"/>
          <w:lang w:val="en-US" w:eastAsia="zh-CN"/>
        </w:rPr>
      </w:pPr>
      <w:r>
        <w:rPr>
          <w:rFonts w:hint="eastAsia"/>
          <w:lang w:val="en-US" w:eastAsia="zh-CN"/>
        </w:rPr>
        <w:t>附件2</w:t>
      </w:r>
    </w:p>
    <w:p w14:paraId="4CBB135B">
      <w:pPr>
        <w:keepNext w:val="0"/>
        <w:keepLines w:val="0"/>
        <w:pageBreakBefore w:val="0"/>
        <w:widowControl/>
        <w:kinsoku w:val="0"/>
        <w:wordWrap/>
        <w:overflowPunct/>
        <w:topLinePunct w:val="0"/>
        <w:autoSpaceDE w:val="0"/>
        <w:autoSpaceDN w:val="0"/>
        <w:bidi w:val="0"/>
        <w:adjustRightInd w:val="0"/>
        <w:snapToGrid w:val="0"/>
        <w:spacing w:before="87" w:line="380" w:lineRule="exact"/>
        <w:ind w:right="-28"/>
        <w:jc w:val="center"/>
        <w:textAlignment w:val="baseline"/>
        <w:rPr>
          <w:rFonts w:ascii="仿宋" w:hAnsi="仿宋" w:eastAsia="仿宋" w:cs="仿宋"/>
          <w:spacing w:val="9"/>
          <w:sz w:val="43"/>
          <w:szCs w:val="43"/>
        </w:rPr>
      </w:pPr>
      <w:r>
        <w:rPr>
          <w:rFonts w:hint="eastAsia" w:ascii="仿宋" w:hAnsi="仿宋" w:eastAsia="仿宋" w:cs="仿宋"/>
          <w:spacing w:val="9"/>
          <w:sz w:val="43"/>
          <w:szCs w:val="43"/>
          <w:lang w:val="en-US" w:eastAsia="zh-CN"/>
        </w:rPr>
        <w:t>2024年</w:t>
      </w:r>
      <w:r>
        <w:rPr>
          <w:rFonts w:ascii="仿宋" w:hAnsi="仿宋" w:eastAsia="仿宋" w:cs="仿宋"/>
          <w:spacing w:val="9"/>
          <w:sz w:val="43"/>
          <w:szCs w:val="43"/>
        </w:rPr>
        <w:t>广西计量院</w:t>
      </w:r>
      <w:r>
        <w:rPr>
          <w:rFonts w:hint="eastAsia" w:ascii="仿宋" w:hAnsi="仿宋" w:eastAsia="仿宋" w:cs="仿宋"/>
          <w:spacing w:val="9"/>
          <w:sz w:val="43"/>
          <w:szCs w:val="43"/>
        </w:rPr>
        <w:t>样品运输</w:t>
      </w:r>
      <w:r>
        <w:rPr>
          <w:rFonts w:ascii="仿宋" w:hAnsi="仿宋" w:eastAsia="仿宋" w:cs="仿宋"/>
          <w:spacing w:val="9"/>
          <w:sz w:val="43"/>
          <w:szCs w:val="43"/>
        </w:rPr>
        <w:t>服</w:t>
      </w:r>
      <w:r>
        <w:rPr>
          <w:rFonts w:ascii="仿宋" w:hAnsi="仿宋" w:eastAsia="仿宋" w:cs="仿宋"/>
          <w:spacing w:val="8"/>
          <w:sz w:val="43"/>
          <w:szCs w:val="43"/>
        </w:rPr>
        <w:t>务</w:t>
      </w:r>
      <w:r>
        <w:rPr>
          <w:rFonts w:ascii="仿宋" w:hAnsi="仿宋" w:eastAsia="仿宋" w:cs="仿宋"/>
          <w:spacing w:val="9"/>
          <w:sz w:val="43"/>
          <w:szCs w:val="43"/>
        </w:rPr>
        <w:t>招标</w:t>
      </w:r>
    </w:p>
    <w:p w14:paraId="41AEF59E">
      <w:pPr>
        <w:keepNext w:val="0"/>
        <w:keepLines w:val="0"/>
        <w:pageBreakBefore w:val="0"/>
        <w:widowControl/>
        <w:kinsoku w:val="0"/>
        <w:wordWrap/>
        <w:overflowPunct/>
        <w:topLinePunct w:val="0"/>
        <w:autoSpaceDE w:val="0"/>
        <w:autoSpaceDN w:val="0"/>
        <w:bidi w:val="0"/>
        <w:adjustRightInd w:val="0"/>
        <w:snapToGrid w:val="0"/>
        <w:spacing w:before="87" w:line="380" w:lineRule="exact"/>
        <w:ind w:right="-28"/>
        <w:jc w:val="center"/>
        <w:textAlignment w:val="baseline"/>
        <w:rPr>
          <w:rFonts w:hint="eastAsia" w:ascii="仿宋" w:hAnsi="仿宋" w:eastAsia="仿宋" w:cs="仿宋"/>
          <w:spacing w:val="9"/>
          <w:sz w:val="43"/>
          <w:szCs w:val="43"/>
          <w:lang w:val="en-US" w:eastAsia="zh-CN"/>
        </w:rPr>
      </w:pPr>
      <w:r>
        <w:rPr>
          <w:rFonts w:ascii="仿宋" w:hAnsi="仿宋" w:eastAsia="仿宋" w:cs="仿宋"/>
          <w:spacing w:val="9"/>
          <w:sz w:val="43"/>
          <w:szCs w:val="43"/>
        </w:rPr>
        <w:t>综合评分</w:t>
      </w:r>
      <w:r>
        <w:rPr>
          <w:rFonts w:hint="eastAsia" w:ascii="仿宋" w:hAnsi="仿宋" w:eastAsia="仿宋" w:cs="仿宋"/>
          <w:spacing w:val="9"/>
          <w:sz w:val="43"/>
          <w:szCs w:val="43"/>
          <w:lang w:val="en-US" w:eastAsia="zh-CN"/>
        </w:rPr>
        <w:t>细则</w:t>
      </w:r>
    </w:p>
    <w:p w14:paraId="72810A73">
      <w:pPr>
        <w:spacing w:before="87" w:line="258" w:lineRule="auto"/>
        <w:ind w:right="-28"/>
        <w:jc w:val="both"/>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供应商名称：</w:t>
      </w:r>
    </w:p>
    <w:p w14:paraId="509C4D7C">
      <w:pPr>
        <w:spacing w:line="118" w:lineRule="exact"/>
      </w:pPr>
    </w:p>
    <w:tbl>
      <w:tblPr>
        <w:tblStyle w:val="7"/>
        <w:tblW w:w="821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75"/>
        <w:gridCol w:w="6005"/>
        <w:gridCol w:w="630"/>
      </w:tblGrid>
      <w:tr w14:paraId="49264B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blHeader/>
          <w:jc w:val="center"/>
        </w:trPr>
        <w:tc>
          <w:tcPr>
            <w:tcW w:w="1575" w:type="dxa"/>
          </w:tcPr>
          <w:p w14:paraId="640BF11C">
            <w:pPr>
              <w:spacing w:before="172" w:line="227" w:lineRule="auto"/>
              <w:jc w:val="center"/>
              <w:rPr>
                <w:rFonts w:ascii="仿宋" w:hAnsi="仿宋" w:eastAsia="仿宋" w:cs="仿宋"/>
                <w:sz w:val="23"/>
                <w:szCs w:val="23"/>
              </w:rPr>
            </w:pPr>
            <w:r>
              <w:rPr>
                <w:rFonts w:hint="eastAsia" w:ascii="仿宋" w:hAnsi="仿宋" w:eastAsia="仿宋" w:cs="仿宋"/>
                <w:spacing w:val="4"/>
                <w:sz w:val="23"/>
                <w:szCs w:val="23"/>
              </w:rPr>
              <w:t>评分</w:t>
            </w:r>
            <w:r>
              <w:rPr>
                <w:rFonts w:ascii="仿宋" w:hAnsi="仿宋" w:eastAsia="仿宋" w:cs="仿宋"/>
                <w:spacing w:val="4"/>
                <w:sz w:val="23"/>
                <w:szCs w:val="23"/>
              </w:rPr>
              <w:t>项</w:t>
            </w:r>
            <w:r>
              <w:rPr>
                <w:rFonts w:ascii="仿宋" w:hAnsi="仿宋" w:eastAsia="仿宋" w:cs="仿宋"/>
                <w:spacing w:val="3"/>
                <w:sz w:val="23"/>
                <w:szCs w:val="23"/>
              </w:rPr>
              <w:t>目</w:t>
            </w:r>
          </w:p>
        </w:tc>
        <w:tc>
          <w:tcPr>
            <w:tcW w:w="6005" w:type="dxa"/>
          </w:tcPr>
          <w:p w14:paraId="1740E299">
            <w:pPr>
              <w:spacing w:before="172" w:line="225" w:lineRule="auto"/>
              <w:ind w:left="2262"/>
              <w:rPr>
                <w:rFonts w:ascii="仿宋" w:hAnsi="仿宋" w:eastAsia="仿宋" w:cs="仿宋"/>
                <w:sz w:val="23"/>
                <w:szCs w:val="23"/>
              </w:rPr>
            </w:pPr>
            <w:r>
              <w:rPr>
                <w:rFonts w:ascii="仿宋" w:hAnsi="仿宋" w:eastAsia="仿宋" w:cs="仿宋"/>
                <w:spacing w:val="9"/>
                <w:sz w:val="23"/>
                <w:szCs w:val="23"/>
              </w:rPr>
              <w:t>评</w:t>
            </w:r>
            <w:r>
              <w:rPr>
                <w:rFonts w:ascii="仿宋" w:hAnsi="仿宋" w:eastAsia="仿宋" w:cs="仿宋"/>
                <w:spacing w:val="8"/>
                <w:sz w:val="23"/>
                <w:szCs w:val="23"/>
              </w:rPr>
              <w:t>分标准</w:t>
            </w:r>
          </w:p>
        </w:tc>
        <w:tc>
          <w:tcPr>
            <w:tcW w:w="630" w:type="dxa"/>
          </w:tcPr>
          <w:p w14:paraId="3544C658">
            <w:pPr>
              <w:spacing w:before="172" w:line="226" w:lineRule="auto"/>
              <w:jc w:val="center"/>
              <w:rPr>
                <w:rFonts w:ascii="仿宋" w:hAnsi="仿宋" w:eastAsia="仿宋" w:cs="仿宋"/>
                <w:sz w:val="23"/>
                <w:szCs w:val="23"/>
              </w:rPr>
            </w:pPr>
            <w:r>
              <w:rPr>
                <w:rFonts w:ascii="仿宋" w:hAnsi="仿宋" w:eastAsia="仿宋" w:cs="仿宋"/>
                <w:spacing w:val="4"/>
                <w:sz w:val="23"/>
                <w:szCs w:val="23"/>
              </w:rPr>
              <w:t>分值</w:t>
            </w:r>
          </w:p>
        </w:tc>
      </w:tr>
      <w:tr w14:paraId="4465E0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44" w:hRule="atLeast"/>
          <w:jc w:val="center"/>
        </w:trPr>
        <w:tc>
          <w:tcPr>
            <w:tcW w:w="1575" w:type="dxa"/>
            <w:vAlign w:val="center"/>
          </w:tcPr>
          <w:p w14:paraId="2496AAC0">
            <w:pPr>
              <w:spacing w:before="75" w:line="225" w:lineRule="auto"/>
              <w:jc w:val="center"/>
              <w:rPr>
                <w:rFonts w:ascii="仿宋" w:hAnsi="仿宋" w:eastAsia="仿宋" w:cs="仿宋"/>
                <w:sz w:val="23"/>
                <w:szCs w:val="23"/>
              </w:rPr>
            </w:pPr>
            <w:r>
              <w:rPr>
                <w:rFonts w:ascii="仿宋" w:hAnsi="仿宋" w:eastAsia="仿宋" w:cs="仿宋"/>
                <w:spacing w:val="5"/>
                <w:sz w:val="23"/>
                <w:szCs w:val="23"/>
              </w:rPr>
              <w:t>价格</w:t>
            </w:r>
          </w:p>
        </w:tc>
        <w:tc>
          <w:tcPr>
            <w:tcW w:w="6005" w:type="dxa"/>
            <w:vAlign w:val="center"/>
          </w:tcPr>
          <w:p w14:paraId="12E6710A">
            <w:pPr>
              <w:keepNext w:val="0"/>
              <w:keepLines w:val="0"/>
              <w:pageBreakBefore w:val="0"/>
              <w:widowControl/>
              <w:kinsoku w:val="0"/>
              <w:wordWrap/>
              <w:overflowPunct/>
              <w:topLinePunct w:val="0"/>
              <w:autoSpaceDE w:val="0"/>
              <w:autoSpaceDN w:val="0"/>
              <w:bidi w:val="0"/>
              <w:adjustRightInd w:val="0"/>
              <w:snapToGrid w:val="0"/>
              <w:spacing w:before="160" w:line="380" w:lineRule="exact"/>
              <w:ind w:left="113" w:right="204" w:firstLine="11"/>
              <w:textAlignment w:val="baseline"/>
              <w:rPr>
                <w:rFonts w:ascii="仿宋" w:hAnsi="仿宋" w:eastAsia="仿宋" w:cs="仿宋"/>
                <w:spacing w:val="10"/>
                <w:sz w:val="23"/>
                <w:szCs w:val="23"/>
              </w:rPr>
            </w:pPr>
            <w:r>
              <w:rPr>
                <w:rFonts w:hint="eastAsia" w:ascii="仿宋" w:hAnsi="仿宋" w:eastAsia="仿宋" w:cs="仿宋"/>
                <w:spacing w:val="10"/>
                <w:sz w:val="23"/>
                <w:szCs w:val="23"/>
              </w:rPr>
              <w:t>（1）以进入综合评分的最低评</w:t>
            </w:r>
            <w:r>
              <w:rPr>
                <w:rFonts w:hint="eastAsia" w:ascii="仿宋" w:hAnsi="仿宋" w:eastAsia="仿宋" w:cs="仿宋"/>
                <w:spacing w:val="10"/>
                <w:sz w:val="23"/>
                <w:szCs w:val="23"/>
                <w:lang w:val="en-US" w:eastAsia="zh-CN"/>
              </w:rPr>
              <w:t>标</w:t>
            </w:r>
            <w:r>
              <w:rPr>
                <w:rFonts w:hint="eastAsia" w:ascii="仿宋" w:hAnsi="仿宋" w:eastAsia="仿宋" w:cs="仿宋"/>
                <w:spacing w:val="10"/>
                <w:sz w:val="23"/>
                <w:szCs w:val="23"/>
              </w:rPr>
              <w:t>报价为20分。</w:t>
            </w:r>
          </w:p>
          <w:p w14:paraId="18877952">
            <w:pPr>
              <w:keepNext w:val="0"/>
              <w:keepLines w:val="0"/>
              <w:pageBreakBefore w:val="0"/>
              <w:widowControl/>
              <w:kinsoku w:val="0"/>
              <w:wordWrap/>
              <w:overflowPunct/>
              <w:topLinePunct w:val="0"/>
              <w:autoSpaceDE w:val="0"/>
              <w:autoSpaceDN w:val="0"/>
              <w:bidi w:val="0"/>
              <w:adjustRightInd w:val="0"/>
              <w:snapToGrid w:val="0"/>
              <w:spacing w:before="160" w:line="380" w:lineRule="exact"/>
              <w:ind w:left="113" w:right="204" w:firstLine="11"/>
              <w:textAlignment w:val="baseline"/>
              <w:rPr>
                <w:rFonts w:hint="eastAsia" w:ascii="仿宋" w:hAnsi="仿宋" w:eastAsia="仿宋" w:cs="仿宋"/>
                <w:spacing w:val="10"/>
                <w:sz w:val="23"/>
                <w:szCs w:val="23"/>
              </w:rPr>
            </w:pPr>
            <w:r>
              <w:rPr>
                <w:rFonts w:hint="eastAsia" w:ascii="仿宋" w:hAnsi="仿宋" w:eastAsia="仿宋" w:cs="仿宋"/>
                <w:spacing w:val="10"/>
                <w:sz w:val="23"/>
                <w:szCs w:val="23"/>
              </w:rPr>
              <w:t>（2）某磋商供应商价格分 =（磋商供应商最低评标报价÷某磋商供应商评标报价）×20分。</w:t>
            </w:r>
          </w:p>
          <w:p w14:paraId="67EB66B9">
            <w:pPr>
              <w:keepNext w:val="0"/>
              <w:keepLines w:val="0"/>
              <w:pageBreakBefore w:val="0"/>
              <w:widowControl/>
              <w:kinsoku w:val="0"/>
              <w:wordWrap/>
              <w:overflowPunct/>
              <w:topLinePunct w:val="0"/>
              <w:autoSpaceDE w:val="0"/>
              <w:autoSpaceDN w:val="0"/>
              <w:bidi w:val="0"/>
              <w:adjustRightInd w:val="0"/>
              <w:snapToGrid w:val="0"/>
              <w:spacing w:before="160" w:line="380" w:lineRule="exact"/>
              <w:ind w:left="113" w:right="204" w:firstLine="11"/>
              <w:textAlignment w:val="baseline"/>
              <w:rPr>
                <w:rFonts w:hint="default" w:ascii="仿宋" w:hAnsi="仿宋" w:eastAsia="仿宋" w:cs="仿宋"/>
                <w:spacing w:val="10"/>
                <w:sz w:val="23"/>
                <w:szCs w:val="23"/>
                <w:lang w:val="en-US" w:eastAsia="zh-CN"/>
              </w:rPr>
            </w:pPr>
            <w:r>
              <w:rPr>
                <w:rFonts w:hint="eastAsia" w:ascii="仿宋" w:hAnsi="仿宋" w:eastAsia="仿宋" w:cs="仿宋"/>
                <w:spacing w:val="10"/>
                <w:sz w:val="23"/>
                <w:szCs w:val="23"/>
                <w:lang w:val="en-US" w:eastAsia="zh-CN"/>
              </w:rPr>
              <w:t>由于南宁市内新旧基地间周转费用约占全年运输费用的90%，评标报价以各供应商在南宁市内新旧基地间周转运输的双程报价为评分依据。</w:t>
            </w:r>
          </w:p>
        </w:tc>
        <w:tc>
          <w:tcPr>
            <w:tcW w:w="630" w:type="dxa"/>
            <w:vAlign w:val="center"/>
          </w:tcPr>
          <w:p w14:paraId="74A04967">
            <w:pPr>
              <w:spacing w:before="66" w:line="194" w:lineRule="auto"/>
              <w:ind w:firstLine="234" w:firstLineChars="100"/>
              <w:jc w:val="both"/>
              <w:rPr>
                <w:rFonts w:ascii="Times New Roman" w:hAnsi="Times New Roman" w:eastAsia="宋体" w:cs="Times New Roman"/>
                <w:sz w:val="23"/>
                <w:szCs w:val="23"/>
              </w:rPr>
            </w:pPr>
            <w:r>
              <w:rPr>
                <w:rFonts w:hint="eastAsia" w:ascii="Times New Roman" w:hAnsi="Times New Roman" w:eastAsia="宋体" w:cs="Times New Roman"/>
                <w:spacing w:val="2"/>
                <w:sz w:val="23"/>
                <w:szCs w:val="23"/>
              </w:rPr>
              <w:t>20</w:t>
            </w:r>
          </w:p>
        </w:tc>
      </w:tr>
      <w:tr w14:paraId="1A846F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5" w:hRule="atLeast"/>
          <w:jc w:val="center"/>
        </w:trPr>
        <w:tc>
          <w:tcPr>
            <w:tcW w:w="1575" w:type="dxa"/>
            <w:tcBorders>
              <w:bottom w:val="single" w:color="000000" w:sz="2" w:space="0"/>
            </w:tcBorders>
            <w:vAlign w:val="center"/>
          </w:tcPr>
          <w:p w14:paraId="2CDB2E8E">
            <w:pPr>
              <w:spacing w:before="75" w:line="363" w:lineRule="auto"/>
              <w:ind w:right="153"/>
              <w:jc w:val="center"/>
              <w:rPr>
                <w:rFonts w:ascii="仿宋" w:hAnsi="仿宋" w:eastAsia="仿宋" w:cs="仿宋"/>
                <w:sz w:val="23"/>
                <w:szCs w:val="23"/>
              </w:rPr>
            </w:pPr>
            <w:r>
              <w:rPr>
                <w:rFonts w:ascii="仿宋" w:hAnsi="仿宋" w:eastAsia="仿宋" w:cs="仿宋"/>
                <w:spacing w:val="7"/>
                <w:sz w:val="23"/>
                <w:szCs w:val="23"/>
              </w:rPr>
              <w:t>业</w:t>
            </w:r>
            <w:r>
              <w:rPr>
                <w:rFonts w:ascii="仿宋" w:hAnsi="仿宋" w:eastAsia="仿宋" w:cs="仿宋"/>
                <w:spacing w:val="5"/>
                <w:sz w:val="23"/>
                <w:szCs w:val="23"/>
              </w:rPr>
              <w:t>绩和信</w:t>
            </w:r>
            <w:r>
              <w:rPr>
                <w:rFonts w:ascii="仿宋" w:hAnsi="仿宋" w:eastAsia="仿宋" w:cs="仿宋"/>
                <w:spacing w:val="1"/>
                <w:sz w:val="23"/>
                <w:szCs w:val="23"/>
              </w:rPr>
              <w:t>誉</w:t>
            </w:r>
          </w:p>
        </w:tc>
        <w:tc>
          <w:tcPr>
            <w:tcW w:w="6005" w:type="dxa"/>
            <w:tcBorders>
              <w:bottom w:val="single" w:color="000000" w:sz="2" w:space="0"/>
            </w:tcBorders>
            <w:vAlign w:val="center"/>
          </w:tcPr>
          <w:p w14:paraId="445EE0AA">
            <w:pPr>
              <w:keepNext w:val="0"/>
              <w:keepLines w:val="0"/>
              <w:pageBreakBefore w:val="0"/>
              <w:widowControl/>
              <w:kinsoku w:val="0"/>
              <w:wordWrap/>
              <w:overflowPunct/>
              <w:topLinePunct w:val="0"/>
              <w:autoSpaceDE w:val="0"/>
              <w:autoSpaceDN w:val="0"/>
              <w:bidi w:val="0"/>
              <w:adjustRightInd w:val="0"/>
              <w:snapToGrid w:val="0"/>
              <w:spacing w:before="160" w:line="380" w:lineRule="exact"/>
              <w:ind w:left="101" w:leftChars="48" w:right="204"/>
              <w:textAlignment w:val="baseline"/>
              <w:rPr>
                <w:rFonts w:ascii="仿宋" w:hAnsi="仿宋" w:eastAsia="仿宋" w:cs="仿宋"/>
                <w:sz w:val="23"/>
                <w:szCs w:val="23"/>
              </w:rPr>
            </w:pPr>
            <w:r>
              <w:rPr>
                <w:rFonts w:hint="eastAsia" w:ascii="仿宋" w:hAnsi="仿宋" w:eastAsia="仿宋" w:cs="仿宋"/>
                <w:spacing w:val="10"/>
                <w:sz w:val="23"/>
                <w:szCs w:val="23"/>
              </w:rPr>
              <w:t>供应商自202</w:t>
            </w:r>
            <w:r>
              <w:rPr>
                <w:rFonts w:hint="eastAsia" w:ascii="仿宋" w:hAnsi="仿宋" w:eastAsia="仿宋" w:cs="仿宋"/>
                <w:spacing w:val="10"/>
                <w:sz w:val="23"/>
                <w:szCs w:val="23"/>
                <w:lang w:val="en-US" w:eastAsia="zh-CN"/>
              </w:rPr>
              <w:t>1</w:t>
            </w:r>
            <w:r>
              <w:rPr>
                <w:rFonts w:hint="eastAsia" w:ascii="仿宋" w:hAnsi="仿宋" w:eastAsia="仿宋" w:cs="仿宋"/>
                <w:spacing w:val="10"/>
                <w:sz w:val="23"/>
                <w:szCs w:val="23"/>
              </w:rPr>
              <w:t>年以来，同类样品运输服务项目成功案例（以合同或中标/成交通知书复印件为准），每个合同得2分，满分10分。</w:t>
            </w:r>
          </w:p>
        </w:tc>
        <w:tc>
          <w:tcPr>
            <w:tcW w:w="630" w:type="dxa"/>
            <w:vAlign w:val="center"/>
          </w:tcPr>
          <w:p w14:paraId="755D3D3A">
            <w:pPr>
              <w:spacing w:before="67" w:line="194" w:lineRule="auto"/>
              <w:ind w:firstLine="230" w:firstLineChars="100"/>
              <w:jc w:val="both"/>
              <w:rPr>
                <w:rFonts w:ascii="Times New Roman" w:hAnsi="Times New Roman" w:eastAsia="宋体" w:cs="Times New Roman"/>
                <w:sz w:val="23"/>
                <w:szCs w:val="23"/>
              </w:rPr>
            </w:pPr>
            <w:r>
              <w:rPr>
                <w:rFonts w:hint="eastAsia" w:ascii="Times New Roman" w:hAnsi="Times New Roman" w:eastAsia="宋体" w:cs="Times New Roman"/>
                <w:sz w:val="23"/>
                <w:szCs w:val="23"/>
              </w:rPr>
              <w:t>10</w:t>
            </w:r>
          </w:p>
        </w:tc>
      </w:tr>
      <w:tr w14:paraId="17122F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7" w:hRule="atLeast"/>
          <w:jc w:val="center"/>
        </w:trPr>
        <w:tc>
          <w:tcPr>
            <w:tcW w:w="1575" w:type="dxa"/>
            <w:tcBorders>
              <w:top w:val="single" w:color="000000" w:sz="2" w:space="0"/>
            </w:tcBorders>
            <w:vAlign w:val="center"/>
          </w:tcPr>
          <w:p w14:paraId="54EA4285">
            <w:pPr>
              <w:spacing w:before="75" w:line="227" w:lineRule="auto"/>
              <w:jc w:val="center"/>
              <w:rPr>
                <w:rFonts w:ascii="仿宋" w:hAnsi="仿宋" w:eastAsia="仿宋" w:cs="仿宋"/>
                <w:sz w:val="23"/>
                <w:szCs w:val="23"/>
              </w:rPr>
            </w:pPr>
            <w:r>
              <w:rPr>
                <w:rFonts w:ascii="仿宋" w:hAnsi="仿宋" w:eastAsia="仿宋" w:cs="仿宋"/>
                <w:spacing w:val="7"/>
                <w:sz w:val="23"/>
                <w:szCs w:val="23"/>
              </w:rPr>
              <w:t>注</w:t>
            </w:r>
            <w:r>
              <w:rPr>
                <w:rFonts w:ascii="仿宋" w:hAnsi="仿宋" w:eastAsia="仿宋" w:cs="仿宋"/>
                <w:spacing w:val="5"/>
                <w:sz w:val="23"/>
                <w:szCs w:val="23"/>
              </w:rPr>
              <w:t>册地</w:t>
            </w:r>
          </w:p>
        </w:tc>
        <w:tc>
          <w:tcPr>
            <w:tcW w:w="6005" w:type="dxa"/>
            <w:tcBorders>
              <w:top w:val="single" w:color="000000" w:sz="2" w:space="0"/>
            </w:tcBorders>
            <w:vAlign w:val="center"/>
          </w:tcPr>
          <w:p w14:paraId="214B2DF8">
            <w:pPr>
              <w:keepNext w:val="0"/>
              <w:keepLines w:val="0"/>
              <w:pageBreakBefore w:val="0"/>
              <w:widowControl/>
              <w:kinsoku w:val="0"/>
              <w:wordWrap/>
              <w:overflowPunct/>
              <w:topLinePunct w:val="0"/>
              <w:autoSpaceDE w:val="0"/>
              <w:autoSpaceDN w:val="0"/>
              <w:bidi w:val="0"/>
              <w:adjustRightInd w:val="0"/>
              <w:snapToGrid w:val="0"/>
              <w:spacing w:before="151" w:line="380" w:lineRule="exact"/>
              <w:ind w:left="113" w:right="40" w:firstLine="6"/>
              <w:textAlignment w:val="baseline"/>
              <w:rPr>
                <w:rFonts w:ascii="仿宋" w:hAnsi="仿宋" w:eastAsia="仿宋" w:cs="仿宋"/>
                <w:sz w:val="23"/>
                <w:szCs w:val="23"/>
              </w:rPr>
            </w:pPr>
            <w:r>
              <w:rPr>
                <w:rFonts w:ascii="仿宋" w:hAnsi="仿宋" w:eastAsia="仿宋" w:cs="仿宋"/>
                <w:spacing w:val="-2"/>
                <w:sz w:val="23"/>
                <w:szCs w:val="23"/>
              </w:rPr>
              <w:t>注册地在</w:t>
            </w:r>
            <w:r>
              <w:rPr>
                <w:rFonts w:hint="eastAsia" w:ascii="仿宋" w:hAnsi="仿宋" w:eastAsia="仿宋" w:cs="仿宋"/>
                <w:spacing w:val="-2"/>
                <w:sz w:val="23"/>
                <w:szCs w:val="23"/>
              </w:rPr>
              <w:t>南宁</w:t>
            </w:r>
            <w:r>
              <w:rPr>
                <w:rFonts w:ascii="仿宋" w:hAnsi="仿宋" w:eastAsia="仿宋" w:cs="仿宋"/>
                <w:spacing w:val="-2"/>
                <w:sz w:val="23"/>
                <w:szCs w:val="23"/>
              </w:rPr>
              <w:t>市，得</w:t>
            </w:r>
            <w:r>
              <w:rPr>
                <w:rFonts w:hint="eastAsia" w:ascii="Times New Roman" w:hAnsi="Times New Roman" w:eastAsia="宋体" w:cs="Times New Roman"/>
                <w:spacing w:val="-2"/>
                <w:sz w:val="23"/>
                <w:szCs w:val="23"/>
              </w:rPr>
              <w:t>10</w:t>
            </w:r>
            <w:r>
              <w:rPr>
                <w:rFonts w:ascii="仿宋" w:hAnsi="仿宋" w:eastAsia="仿宋" w:cs="仿宋"/>
                <w:spacing w:val="-2"/>
                <w:sz w:val="23"/>
                <w:szCs w:val="23"/>
              </w:rPr>
              <w:t>分；公司注</w:t>
            </w:r>
            <w:r>
              <w:rPr>
                <w:rFonts w:ascii="仿宋" w:hAnsi="仿宋" w:eastAsia="仿宋" w:cs="仿宋"/>
                <w:spacing w:val="-1"/>
                <w:sz w:val="23"/>
                <w:szCs w:val="23"/>
              </w:rPr>
              <w:t>册地不在</w:t>
            </w:r>
            <w:r>
              <w:rPr>
                <w:rFonts w:hint="eastAsia" w:ascii="仿宋" w:hAnsi="仿宋" w:eastAsia="仿宋" w:cs="仿宋"/>
                <w:spacing w:val="-2"/>
                <w:sz w:val="23"/>
                <w:szCs w:val="23"/>
              </w:rPr>
              <w:t>南宁</w:t>
            </w:r>
            <w:r>
              <w:rPr>
                <w:rFonts w:ascii="仿宋" w:hAnsi="仿宋" w:eastAsia="仿宋" w:cs="仿宋"/>
                <w:spacing w:val="-1"/>
                <w:sz w:val="23"/>
                <w:szCs w:val="23"/>
              </w:rPr>
              <w:t>市，</w:t>
            </w:r>
            <w:r>
              <w:rPr>
                <w:rFonts w:ascii="仿宋" w:hAnsi="仿宋" w:eastAsia="仿宋" w:cs="仿宋"/>
                <w:spacing w:val="10"/>
                <w:sz w:val="23"/>
                <w:szCs w:val="23"/>
              </w:rPr>
              <w:t>但在</w:t>
            </w:r>
            <w:r>
              <w:rPr>
                <w:rFonts w:hint="eastAsia" w:ascii="仿宋" w:hAnsi="仿宋" w:eastAsia="仿宋" w:cs="仿宋"/>
                <w:spacing w:val="-2"/>
                <w:sz w:val="23"/>
                <w:szCs w:val="23"/>
              </w:rPr>
              <w:t>南宁</w:t>
            </w:r>
            <w:r>
              <w:rPr>
                <w:rFonts w:ascii="仿宋" w:hAnsi="仿宋" w:eastAsia="仿宋" w:cs="仿宋"/>
                <w:spacing w:val="5"/>
                <w:sz w:val="23"/>
                <w:szCs w:val="23"/>
              </w:rPr>
              <w:t>市有分支机构得</w:t>
            </w:r>
            <w:r>
              <w:rPr>
                <w:rFonts w:hint="eastAsia" w:ascii="Times New Roman" w:hAnsi="Times New Roman" w:eastAsia="宋体" w:cs="Times New Roman"/>
                <w:spacing w:val="5"/>
                <w:sz w:val="23"/>
                <w:szCs w:val="23"/>
              </w:rPr>
              <w:t>5</w:t>
            </w:r>
            <w:r>
              <w:rPr>
                <w:rFonts w:ascii="仿宋" w:hAnsi="仿宋" w:eastAsia="仿宋" w:cs="仿宋"/>
                <w:spacing w:val="5"/>
                <w:sz w:val="23"/>
                <w:szCs w:val="23"/>
              </w:rPr>
              <w:t>分；公司注册地不在</w:t>
            </w:r>
            <w:r>
              <w:rPr>
                <w:rFonts w:hint="eastAsia" w:ascii="仿宋" w:hAnsi="仿宋" w:eastAsia="仿宋" w:cs="仿宋"/>
                <w:spacing w:val="5"/>
                <w:sz w:val="23"/>
                <w:szCs w:val="23"/>
              </w:rPr>
              <w:t>南宁</w:t>
            </w:r>
            <w:r>
              <w:rPr>
                <w:rFonts w:ascii="仿宋" w:hAnsi="仿宋" w:eastAsia="仿宋" w:cs="仿宋"/>
                <w:spacing w:val="8"/>
                <w:sz w:val="23"/>
                <w:szCs w:val="23"/>
              </w:rPr>
              <w:t>市，也没有分支机构，该项不得分。</w:t>
            </w:r>
          </w:p>
        </w:tc>
        <w:tc>
          <w:tcPr>
            <w:tcW w:w="630" w:type="dxa"/>
            <w:vAlign w:val="center"/>
          </w:tcPr>
          <w:p w14:paraId="1F01D6E5">
            <w:pPr>
              <w:spacing w:before="66" w:line="191" w:lineRule="auto"/>
              <w:ind w:firstLine="230" w:firstLineChars="100"/>
              <w:jc w:val="both"/>
              <w:rPr>
                <w:rFonts w:ascii="Times New Roman" w:hAnsi="Times New Roman" w:eastAsia="宋体" w:cs="Times New Roman"/>
                <w:sz w:val="23"/>
                <w:szCs w:val="23"/>
              </w:rPr>
            </w:pPr>
            <w:r>
              <w:rPr>
                <w:rFonts w:hint="eastAsia" w:ascii="Times New Roman" w:hAnsi="Times New Roman" w:eastAsia="宋体" w:cs="Times New Roman"/>
                <w:sz w:val="23"/>
                <w:szCs w:val="23"/>
              </w:rPr>
              <w:t>10</w:t>
            </w:r>
          </w:p>
        </w:tc>
      </w:tr>
      <w:tr w14:paraId="166E40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05" w:hRule="atLeast"/>
          <w:jc w:val="center"/>
        </w:trPr>
        <w:tc>
          <w:tcPr>
            <w:tcW w:w="1575" w:type="dxa"/>
            <w:tcBorders>
              <w:bottom w:val="single" w:color="auto" w:sz="4" w:space="0"/>
            </w:tcBorders>
            <w:vAlign w:val="center"/>
          </w:tcPr>
          <w:p w14:paraId="30C744CB">
            <w:pPr>
              <w:spacing w:before="75" w:line="225" w:lineRule="auto"/>
              <w:jc w:val="center"/>
              <w:rPr>
                <w:rFonts w:ascii="仿宋" w:hAnsi="仿宋" w:eastAsia="仿宋" w:cs="仿宋"/>
                <w:sz w:val="23"/>
                <w:szCs w:val="23"/>
              </w:rPr>
            </w:pPr>
            <w:r>
              <w:rPr>
                <w:rFonts w:hint="eastAsia" w:ascii="仿宋" w:hAnsi="仿宋" w:eastAsia="仿宋" w:cs="仿宋"/>
                <w:spacing w:val="9"/>
                <w:sz w:val="23"/>
                <w:szCs w:val="23"/>
              </w:rPr>
              <w:t>车辆人员配置</w:t>
            </w:r>
          </w:p>
        </w:tc>
        <w:tc>
          <w:tcPr>
            <w:tcW w:w="6005" w:type="dxa"/>
            <w:tcBorders>
              <w:bottom w:val="single" w:color="auto" w:sz="4" w:space="0"/>
            </w:tcBorders>
            <w:vAlign w:val="center"/>
          </w:tcPr>
          <w:p w14:paraId="0F5853E1">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51" w:line="380" w:lineRule="exact"/>
              <w:ind w:left="119" w:leftChars="0" w:right="40" w:rightChars="0"/>
              <w:textAlignment w:val="baseline"/>
              <w:rPr>
                <w:rFonts w:ascii="仿宋" w:hAnsi="仿宋" w:eastAsia="仿宋" w:cs="仿宋"/>
                <w:spacing w:val="5"/>
                <w:sz w:val="23"/>
                <w:szCs w:val="23"/>
              </w:rPr>
            </w:pPr>
            <w:r>
              <w:rPr>
                <w:rFonts w:hint="eastAsia" w:ascii="仿宋" w:hAnsi="仿宋" w:eastAsia="仿宋" w:cs="仿宋"/>
                <w:spacing w:val="-2"/>
                <w:sz w:val="23"/>
                <w:szCs w:val="23"/>
              </w:rPr>
              <w:t>⑴</w:t>
            </w:r>
            <w:r>
              <w:rPr>
                <w:rFonts w:hint="eastAsia" w:ascii="仿宋" w:hAnsi="仿宋" w:eastAsia="仿宋" w:cs="仿宋"/>
                <w:spacing w:val="5"/>
                <w:sz w:val="23"/>
                <w:szCs w:val="23"/>
              </w:rPr>
              <w:t>参与运输服务的司机是本</w:t>
            </w:r>
            <w:bookmarkStart w:id="0" w:name="_GoBack"/>
            <w:bookmarkEnd w:id="0"/>
            <w:r>
              <w:rPr>
                <w:rFonts w:hint="eastAsia" w:ascii="仿宋" w:hAnsi="仿宋" w:eastAsia="仿宋" w:cs="仿宋"/>
                <w:spacing w:val="5"/>
                <w:sz w:val="23"/>
                <w:szCs w:val="23"/>
              </w:rPr>
              <w:t>公司的在职员工，</w:t>
            </w:r>
            <w:r>
              <w:rPr>
                <w:rFonts w:hint="eastAsia" w:ascii="仿宋" w:hAnsi="仿宋" w:eastAsia="仿宋" w:cs="仿宋"/>
                <w:spacing w:val="5"/>
                <w:sz w:val="23"/>
                <w:szCs w:val="23"/>
                <w:lang w:val="en-US" w:eastAsia="zh-CN"/>
              </w:rPr>
              <w:t>且</w:t>
            </w:r>
            <w:r>
              <w:rPr>
                <w:rFonts w:hint="eastAsia" w:ascii="仿宋" w:hAnsi="仿宋" w:eastAsia="仿宋" w:cs="仿宋"/>
                <w:spacing w:val="5"/>
                <w:sz w:val="23"/>
                <w:szCs w:val="23"/>
              </w:rPr>
              <w:t>提供的车辆为自有车辆，车辆不外包的得10分。</w:t>
            </w:r>
          </w:p>
          <w:p w14:paraId="1A8A4848">
            <w:pPr>
              <w:keepNext w:val="0"/>
              <w:keepLines w:val="0"/>
              <w:pageBreakBefore w:val="0"/>
              <w:widowControl/>
              <w:kinsoku w:val="0"/>
              <w:wordWrap/>
              <w:overflowPunct/>
              <w:topLinePunct w:val="0"/>
              <w:autoSpaceDE w:val="0"/>
              <w:autoSpaceDN w:val="0"/>
              <w:bidi w:val="0"/>
              <w:adjustRightInd w:val="0"/>
              <w:snapToGrid w:val="0"/>
              <w:spacing w:before="151" w:line="380" w:lineRule="exact"/>
              <w:ind w:left="119" w:right="40"/>
              <w:textAlignment w:val="baseline"/>
              <w:rPr>
                <w:rFonts w:ascii="仿宋" w:hAnsi="仿宋" w:eastAsia="仿宋" w:cs="仿宋"/>
                <w:spacing w:val="5"/>
                <w:sz w:val="23"/>
                <w:szCs w:val="23"/>
              </w:rPr>
            </w:pPr>
            <w:r>
              <w:rPr>
                <w:rFonts w:hint="eastAsia" w:ascii="仿宋" w:hAnsi="仿宋" w:eastAsia="仿宋" w:cs="仿宋"/>
                <w:spacing w:val="-2"/>
                <w:sz w:val="23"/>
                <w:szCs w:val="23"/>
              </w:rPr>
              <w:t>⑵</w:t>
            </w:r>
            <w:r>
              <w:rPr>
                <w:rFonts w:hint="eastAsia" w:ascii="仿宋" w:hAnsi="仿宋" w:eastAsia="仿宋" w:cs="仿宋"/>
                <w:spacing w:val="5"/>
                <w:sz w:val="23"/>
                <w:szCs w:val="23"/>
              </w:rPr>
              <w:t>参与运输服务都是固定的司机及车辆，每项</w:t>
            </w:r>
            <w:r>
              <w:rPr>
                <w:rFonts w:hint="eastAsia" w:ascii="仿宋" w:hAnsi="仿宋" w:eastAsia="仿宋" w:cs="仿宋"/>
                <w:spacing w:val="5"/>
                <w:sz w:val="23"/>
                <w:szCs w:val="23"/>
                <w:lang w:val="en-US" w:eastAsia="zh-CN"/>
              </w:rPr>
              <w:t>得</w:t>
            </w:r>
            <w:r>
              <w:rPr>
                <w:rFonts w:hint="eastAsia" w:ascii="仿宋" w:hAnsi="仿宋" w:eastAsia="仿宋" w:cs="仿宋"/>
                <w:spacing w:val="5"/>
                <w:sz w:val="23"/>
                <w:szCs w:val="23"/>
              </w:rPr>
              <w:t>5</w:t>
            </w:r>
            <w:r>
              <w:rPr>
                <w:rFonts w:hint="eastAsia" w:ascii="仿宋" w:hAnsi="仿宋" w:eastAsia="仿宋" w:cs="仿宋"/>
                <w:spacing w:val="5"/>
                <w:sz w:val="23"/>
                <w:szCs w:val="23"/>
                <w:lang w:val="en-US" w:eastAsia="zh-CN"/>
              </w:rPr>
              <w:t>分，</w:t>
            </w:r>
            <w:r>
              <w:rPr>
                <w:rFonts w:hint="eastAsia" w:ascii="仿宋" w:hAnsi="仿宋" w:eastAsia="仿宋" w:cs="仿宋"/>
                <w:spacing w:val="5"/>
                <w:sz w:val="23"/>
                <w:szCs w:val="23"/>
              </w:rPr>
              <w:t>最多得10分 。</w:t>
            </w:r>
          </w:p>
        </w:tc>
        <w:tc>
          <w:tcPr>
            <w:tcW w:w="630" w:type="dxa"/>
            <w:tcBorders>
              <w:bottom w:val="single" w:color="auto" w:sz="4" w:space="0"/>
            </w:tcBorders>
            <w:vAlign w:val="center"/>
          </w:tcPr>
          <w:p w14:paraId="14D9A850">
            <w:pPr>
              <w:spacing w:before="66" w:line="194" w:lineRule="auto"/>
              <w:ind w:firstLine="210" w:firstLineChars="100"/>
              <w:jc w:val="both"/>
              <w:rPr>
                <w:rFonts w:ascii="Times New Roman" w:hAnsi="Times New Roman" w:eastAsia="宋体" w:cs="Times New Roman"/>
                <w:sz w:val="23"/>
                <w:szCs w:val="23"/>
              </w:rPr>
            </w:pPr>
            <w:r>
              <w:rPr>
                <w:rFonts w:hint="eastAsia" w:ascii="Times New Roman" w:hAnsi="Times New Roman" w:eastAsia="宋体" w:cs="Times New Roman"/>
                <w:spacing w:val="-10"/>
                <w:sz w:val="23"/>
                <w:szCs w:val="23"/>
              </w:rPr>
              <w:t>20</w:t>
            </w:r>
          </w:p>
        </w:tc>
      </w:tr>
      <w:tr w14:paraId="0CB3DC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17" w:hRule="atLeast"/>
          <w:jc w:val="center"/>
        </w:trPr>
        <w:tc>
          <w:tcPr>
            <w:tcW w:w="1575" w:type="dxa"/>
            <w:tcBorders>
              <w:top w:val="single" w:color="auto" w:sz="4" w:space="0"/>
              <w:left w:val="single" w:color="auto" w:sz="4" w:space="0"/>
              <w:bottom w:val="single" w:color="auto" w:sz="4" w:space="0"/>
              <w:right w:val="single" w:color="auto" w:sz="4" w:space="0"/>
            </w:tcBorders>
            <w:vAlign w:val="center"/>
          </w:tcPr>
          <w:p w14:paraId="4ADC0A8F">
            <w:pPr>
              <w:spacing w:before="75" w:line="225" w:lineRule="auto"/>
              <w:jc w:val="center"/>
              <w:rPr>
                <w:rFonts w:ascii="仿宋" w:hAnsi="仿宋" w:eastAsia="仿宋" w:cs="仿宋"/>
                <w:spacing w:val="9"/>
                <w:sz w:val="23"/>
                <w:szCs w:val="23"/>
              </w:rPr>
            </w:pPr>
          </w:p>
          <w:p w14:paraId="4436CCAA">
            <w:pPr>
              <w:spacing w:before="75" w:line="225" w:lineRule="auto"/>
              <w:jc w:val="both"/>
              <w:rPr>
                <w:rFonts w:ascii="仿宋" w:hAnsi="仿宋" w:eastAsia="仿宋" w:cs="仿宋"/>
                <w:spacing w:val="9"/>
                <w:sz w:val="23"/>
                <w:szCs w:val="23"/>
              </w:rPr>
            </w:pPr>
          </w:p>
          <w:p w14:paraId="63AF19B8">
            <w:pPr>
              <w:spacing w:before="75" w:line="225" w:lineRule="auto"/>
              <w:jc w:val="center"/>
              <w:rPr>
                <w:rFonts w:ascii="仿宋" w:hAnsi="仿宋" w:eastAsia="仿宋" w:cs="仿宋"/>
                <w:spacing w:val="9"/>
                <w:sz w:val="23"/>
                <w:szCs w:val="23"/>
              </w:rPr>
            </w:pPr>
          </w:p>
          <w:p w14:paraId="0DBC7403">
            <w:pPr>
              <w:spacing w:before="75" w:line="225" w:lineRule="auto"/>
              <w:jc w:val="center"/>
              <w:rPr>
                <w:rFonts w:ascii="仿宋" w:hAnsi="仿宋" w:eastAsia="仿宋" w:cs="仿宋"/>
                <w:spacing w:val="9"/>
                <w:sz w:val="23"/>
                <w:szCs w:val="23"/>
              </w:rPr>
            </w:pPr>
            <w:r>
              <w:rPr>
                <w:rFonts w:hint="eastAsia" w:ascii="仿宋" w:hAnsi="仿宋" w:eastAsia="仿宋" w:cs="仿宋"/>
                <w:spacing w:val="9"/>
                <w:sz w:val="23"/>
                <w:szCs w:val="23"/>
              </w:rPr>
              <w:t>服务方案</w:t>
            </w:r>
          </w:p>
          <w:p w14:paraId="529FC8A0">
            <w:pPr>
              <w:spacing w:before="75" w:line="225" w:lineRule="auto"/>
              <w:ind w:firstLine="248" w:firstLineChars="100"/>
              <w:jc w:val="center"/>
              <w:rPr>
                <w:rFonts w:ascii="仿宋" w:hAnsi="仿宋" w:eastAsia="仿宋" w:cs="仿宋"/>
                <w:spacing w:val="9"/>
                <w:sz w:val="23"/>
                <w:szCs w:val="23"/>
              </w:rPr>
            </w:pPr>
          </w:p>
          <w:p w14:paraId="4B1A989D">
            <w:pPr>
              <w:spacing w:before="75" w:line="225" w:lineRule="auto"/>
              <w:ind w:firstLine="248" w:firstLineChars="100"/>
              <w:jc w:val="center"/>
              <w:rPr>
                <w:rFonts w:ascii="仿宋" w:hAnsi="仿宋" w:eastAsia="仿宋" w:cs="仿宋"/>
                <w:spacing w:val="9"/>
                <w:sz w:val="23"/>
                <w:szCs w:val="23"/>
              </w:rPr>
            </w:pPr>
          </w:p>
          <w:p w14:paraId="7A2C4CB0">
            <w:pPr>
              <w:spacing w:before="75" w:line="225" w:lineRule="auto"/>
              <w:ind w:firstLine="248" w:firstLineChars="100"/>
              <w:jc w:val="center"/>
              <w:rPr>
                <w:rFonts w:ascii="仿宋" w:hAnsi="仿宋" w:eastAsia="仿宋" w:cs="仿宋"/>
                <w:spacing w:val="9"/>
                <w:sz w:val="23"/>
                <w:szCs w:val="23"/>
              </w:rPr>
            </w:pPr>
          </w:p>
          <w:p w14:paraId="517055A8">
            <w:pPr>
              <w:spacing w:before="75" w:line="225" w:lineRule="auto"/>
              <w:jc w:val="both"/>
              <w:rPr>
                <w:rFonts w:ascii="仿宋" w:hAnsi="仿宋" w:eastAsia="仿宋" w:cs="仿宋"/>
                <w:spacing w:val="9"/>
                <w:sz w:val="23"/>
                <w:szCs w:val="23"/>
              </w:rPr>
            </w:pPr>
          </w:p>
        </w:tc>
        <w:tc>
          <w:tcPr>
            <w:tcW w:w="6005" w:type="dxa"/>
            <w:tcBorders>
              <w:top w:val="single" w:color="auto" w:sz="4" w:space="0"/>
              <w:left w:val="single" w:color="auto" w:sz="4" w:space="0"/>
            </w:tcBorders>
            <w:vAlign w:val="center"/>
          </w:tcPr>
          <w:p w14:paraId="29FEB16A">
            <w:pPr>
              <w:keepNext w:val="0"/>
              <w:keepLines w:val="0"/>
              <w:pageBreakBefore w:val="0"/>
              <w:widowControl/>
              <w:kinsoku w:val="0"/>
              <w:wordWrap/>
              <w:overflowPunct/>
              <w:topLinePunct w:val="0"/>
              <w:autoSpaceDE w:val="0"/>
              <w:autoSpaceDN w:val="0"/>
              <w:bidi w:val="0"/>
              <w:adjustRightInd w:val="0"/>
              <w:snapToGrid w:val="0"/>
              <w:spacing w:before="151" w:line="380" w:lineRule="exact"/>
              <w:ind w:left="101" w:leftChars="48" w:right="23"/>
              <w:textAlignment w:val="baseline"/>
              <w:rPr>
                <w:rFonts w:ascii="仿宋" w:hAnsi="仿宋" w:eastAsia="仿宋" w:cs="仿宋"/>
                <w:spacing w:val="-2"/>
                <w:sz w:val="23"/>
                <w:szCs w:val="23"/>
              </w:rPr>
            </w:pPr>
            <w:r>
              <w:rPr>
                <w:rFonts w:hint="eastAsia" w:ascii="仿宋" w:hAnsi="仿宋" w:eastAsia="仿宋" w:cs="仿宋"/>
                <w:spacing w:val="-2"/>
                <w:sz w:val="23"/>
                <w:szCs w:val="23"/>
              </w:rPr>
              <w:t>⑴一档（1～8分）：服务方案一般，对本项目的理解不到位，没有针对性，组织管理一般，有安全保护措施，未提供应急预案；</w:t>
            </w:r>
          </w:p>
          <w:p w14:paraId="7F16C50D">
            <w:pPr>
              <w:keepNext w:val="0"/>
              <w:keepLines w:val="0"/>
              <w:pageBreakBefore w:val="0"/>
              <w:widowControl/>
              <w:kinsoku w:val="0"/>
              <w:wordWrap/>
              <w:overflowPunct/>
              <w:topLinePunct w:val="0"/>
              <w:autoSpaceDE w:val="0"/>
              <w:autoSpaceDN w:val="0"/>
              <w:bidi w:val="0"/>
              <w:adjustRightInd w:val="0"/>
              <w:snapToGrid w:val="0"/>
              <w:spacing w:before="151" w:line="380" w:lineRule="exact"/>
              <w:ind w:left="101" w:leftChars="48" w:right="23"/>
              <w:textAlignment w:val="baseline"/>
              <w:rPr>
                <w:rFonts w:ascii="仿宋" w:hAnsi="仿宋" w:eastAsia="仿宋" w:cs="仿宋"/>
                <w:spacing w:val="-2"/>
                <w:sz w:val="23"/>
                <w:szCs w:val="23"/>
              </w:rPr>
            </w:pPr>
            <w:r>
              <w:rPr>
                <w:rFonts w:hint="eastAsia" w:ascii="仿宋" w:hAnsi="仿宋" w:eastAsia="仿宋" w:cs="仿宋"/>
                <w:spacing w:val="-2"/>
                <w:sz w:val="23"/>
                <w:szCs w:val="23"/>
              </w:rPr>
              <w:t>⑵二档（9～16分）：服务方案较详细合理，对本项目有针对性；运输服务方案措施较好，安全保护措施得当，组织管理条件较好，提供应急预案简单；</w:t>
            </w:r>
          </w:p>
          <w:p w14:paraId="353E608D">
            <w:pPr>
              <w:keepNext w:val="0"/>
              <w:keepLines w:val="0"/>
              <w:pageBreakBefore w:val="0"/>
              <w:widowControl/>
              <w:kinsoku w:val="0"/>
              <w:wordWrap/>
              <w:overflowPunct/>
              <w:topLinePunct w:val="0"/>
              <w:autoSpaceDE w:val="0"/>
              <w:autoSpaceDN w:val="0"/>
              <w:bidi w:val="0"/>
              <w:adjustRightInd w:val="0"/>
              <w:snapToGrid w:val="0"/>
              <w:spacing w:before="151" w:line="380" w:lineRule="exact"/>
              <w:ind w:left="101" w:leftChars="48" w:right="23"/>
              <w:textAlignment w:val="baseline"/>
              <w:rPr>
                <w:rFonts w:ascii="仿宋" w:hAnsi="仿宋" w:eastAsia="仿宋" w:cs="仿宋"/>
                <w:spacing w:val="-2"/>
                <w:sz w:val="23"/>
                <w:szCs w:val="23"/>
              </w:rPr>
            </w:pPr>
            <w:r>
              <w:rPr>
                <w:rFonts w:hint="eastAsia" w:ascii="仿宋" w:hAnsi="仿宋" w:eastAsia="仿宋" w:cs="仿宋"/>
                <w:spacing w:val="-2"/>
                <w:sz w:val="23"/>
                <w:szCs w:val="23"/>
              </w:rPr>
              <w:t xml:space="preserve">⑶三档（17～25分）：服务方案详细合理，对本项目有针对性，运输服务方案措施突出，提供有详细的应急预案，安全保护措施完善，组织管理条件突出，为采购人提供的服务承诺有合理的保障，提供更优惠和增值的服务。 </w:t>
            </w:r>
          </w:p>
        </w:tc>
        <w:tc>
          <w:tcPr>
            <w:tcW w:w="630" w:type="dxa"/>
            <w:tcBorders>
              <w:top w:val="single" w:color="auto" w:sz="4" w:space="0"/>
            </w:tcBorders>
            <w:vAlign w:val="center"/>
          </w:tcPr>
          <w:p w14:paraId="524594DC">
            <w:pPr>
              <w:spacing w:before="66" w:line="194" w:lineRule="auto"/>
              <w:ind w:firstLine="210" w:firstLineChars="100"/>
              <w:jc w:val="both"/>
              <w:rPr>
                <w:rFonts w:ascii="Times New Roman" w:hAnsi="Times New Roman" w:eastAsia="宋体" w:cs="Times New Roman"/>
                <w:spacing w:val="-10"/>
                <w:sz w:val="23"/>
                <w:szCs w:val="23"/>
              </w:rPr>
            </w:pPr>
            <w:r>
              <w:rPr>
                <w:rFonts w:hint="eastAsia" w:ascii="Times New Roman" w:hAnsi="Times New Roman" w:eastAsia="宋体" w:cs="Times New Roman"/>
                <w:spacing w:val="-10"/>
                <w:sz w:val="23"/>
                <w:szCs w:val="23"/>
              </w:rPr>
              <w:t>25</w:t>
            </w:r>
          </w:p>
        </w:tc>
      </w:tr>
      <w:tr w14:paraId="0AA447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17" w:hRule="atLeast"/>
          <w:jc w:val="center"/>
        </w:trPr>
        <w:tc>
          <w:tcPr>
            <w:tcW w:w="1575" w:type="dxa"/>
            <w:tcBorders>
              <w:top w:val="single" w:color="auto" w:sz="4" w:space="0"/>
              <w:left w:val="single" w:color="auto" w:sz="4" w:space="0"/>
              <w:bottom w:val="single" w:color="auto" w:sz="4" w:space="0"/>
              <w:right w:val="single" w:color="auto" w:sz="4" w:space="0"/>
            </w:tcBorders>
            <w:vAlign w:val="center"/>
          </w:tcPr>
          <w:p w14:paraId="41B44457">
            <w:pPr>
              <w:spacing w:before="151" w:line="353" w:lineRule="auto"/>
              <w:ind w:right="42"/>
              <w:jc w:val="center"/>
              <w:rPr>
                <w:rFonts w:ascii="仿宋" w:hAnsi="仿宋" w:eastAsia="仿宋" w:cs="仿宋"/>
                <w:spacing w:val="9"/>
                <w:sz w:val="23"/>
                <w:szCs w:val="23"/>
              </w:rPr>
            </w:pPr>
            <w:r>
              <w:rPr>
                <w:rFonts w:hint="eastAsia" w:ascii="仿宋" w:hAnsi="仿宋" w:eastAsia="仿宋" w:cs="仿宋"/>
                <w:spacing w:val="9"/>
                <w:sz w:val="23"/>
                <w:szCs w:val="23"/>
              </w:rPr>
              <w:t>服务能力保障</w:t>
            </w:r>
          </w:p>
        </w:tc>
        <w:tc>
          <w:tcPr>
            <w:tcW w:w="6005" w:type="dxa"/>
            <w:tcBorders>
              <w:top w:val="single" w:color="auto" w:sz="4" w:space="0"/>
              <w:left w:val="single" w:color="auto" w:sz="4" w:space="0"/>
            </w:tcBorders>
            <w:vAlign w:val="center"/>
          </w:tcPr>
          <w:p w14:paraId="79600533">
            <w:pPr>
              <w:keepNext w:val="0"/>
              <w:keepLines w:val="0"/>
              <w:pageBreakBefore w:val="0"/>
              <w:widowControl/>
              <w:kinsoku w:val="0"/>
              <w:wordWrap/>
              <w:overflowPunct/>
              <w:topLinePunct w:val="0"/>
              <w:autoSpaceDE w:val="0"/>
              <w:autoSpaceDN w:val="0"/>
              <w:bidi w:val="0"/>
              <w:adjustRightInd w:val="0"/>
              <w:snapToGrid w:val="0"/>
              <w:spacing w:before="151" w:line="380" w:lineRule="exact"/>
              <w:ind w:left="113" w:right="40" w:firstLine="6"/>
              <w:textAlignment w:val="baseline"/>
              <w:rPr>
                <w:rFonts w:ascii="仿宋" w:hAnsi="仿宋" w:eastAsia="仿宋" w:cs="仿宋"/>
                <w:spacing w:val="-2"/>
                <w:sz w:val="23"/>
                <w:szCs w:val="23"/>
              </w:rPr>
            </w:pPr>
            <w:r>
              <w:rPr>
                <w:rFonts w:hint="eastAsia" w:ascii="仿宋" w:hAnsi="仿宋" w:eastAsia="仿宋" w:cs="仿宋"/>
                <w:spacing w:val="-2"/>
                <w:sz w:val="23"/>
                <w:szCs w:val="23"/>
              </w:rPr>
              <w:t>（1）供应商在南宁市有合法的货物运输服务后勤网点,提供货物运输服务后勤网点协议证明材料复印件或提供承诺函原件，得10分；</w:t>
            </w:r>
          </w:p>
          <w:p w14:paraId="7C52ACD5">
            <w:pPr>
              <w:keepNext w:val="0"/>
              <w:keepLines w:val="0"/>
              <w:pageBreakBefore w:val="0"/>
              <w:widowControl/>
              <w:kinsoku w:val="0"/>
              <w:wordWrap/>
              <w:overflowPunct/>
              <w:topLinePunct w:val="0"/>
              <w:autoSpaceDE w:val="0"/>
              <w:autoSpaceDN w:val="0"/>
              <w:bidi w:val="0"/>
              <w:adjustRightInd w:val="0"/>
              <w:snapToGrid w:val="0"/>
              <w:spacing w:before="151" w:line="380" w:lineRule="exact"/>
              <w:ind w:left="113" w:right="40" w:firstLine="6"/>
              <w:textAlignment w:val="baseline"/>
              <w:rPr>
                <w:rFonts w:ascii="仿宋" w:hAnsi="仿宋" w:eastAsia="仿宋" w:cs="仿宋"/>
                <w:spacing w:val="-2"/>
                <w:sz w:val="23"/>
                <w:szCs w:val="23"/>
              </w:rPr>
            </w:pPr>
            <w:r>
              <w:rPr>
                <w:rFonts w:hint="eastAsia" w:ascii="仿宋" w:hAnsi="仿宋" w:eastAsia="仿宋" w:cs="仿宋"/>
                <w:spacing w:val="-2"/>
                <w:sz w:val="23"/>
                <w:szCs w:val="23"/>
              </w:rPr>
              <w:t>（2）供应商在南宁市有合法的货物运输服务后勤网点，为车上运送货物有投保。提供货物运输服务后勤网点协议证明材料复印件或提供承诺函原件，以及车辆运送货物投保</w:t>
            </w:r>
            <w:r>
              <w:rPr>
                <w:rFonts w:hint="eastAsia" w:ascii="仿宋" w:hAnsi="仿宋" w:eastAsia="仿宋" w:cs="仿宋"/>
                <w:spacing w:val="-2"/>
                <w:sz w:val="23"/>
                <w:szCs w:val="23"/>
                <w:lang w:val="en-US" w:eastAsia="zh-CN"/>
              </w:rPr>
              <w:t>证明材料或在响应文件中列出投保方案</w:t>
            </w:r>
            <w:r>
              <w:rPr>
                <w:rFonts w:hint="eastAsia" w:ascii="仿宋" w:hAnsi="仿宋" w:eastAsia="仿宋" w:cs="仿宋"/>
                <w:spacing w:val="-2"/>
                <w:sz w:val="23"/>
                <w:szCs w:val="23"/>
              </w:rPr>
              <w:t>，得15分。</w:t>
            </w:r>
          </w:p>
        </w:tc>
        <w:tc>
          <w:tcPr>
            <w:tcW w:w="630" w:type="dxa"/>
            <w:vAlign w:val="center"/>
          </w:tcPr>
          <w:p w14:paraId="149351CB">
            <w:pPr>
              <w:spacing w:before="151" w:line="353" w:lineRule="auto"/>
              <w:ind w:left="111" w:right="42" w:firstLine="6"/>
              <w:jc w:val="center"/>
              <w:rPr>
                <w:rFonts w:ascii="仿宋" w:hAnsi="仿宋" w:eastAsia="仿宋" w:cs="仿宋"/>
                <w:spacing w:val="9"/>
                <w:sz w:val="23"/>
                <w:szCs w:val="23"/>
              </w:rPr>
            </w:pPr>
            <w:r>
              <w:rPr>
                <w:rFonts w:hint="eastAsia" w:ascii="Times New Roman" w:hAnsi="Times New Roman" w:eastAsia="宋体" w:cs="Times New Roman"/>
                <w:spacing w:val="-10"/>
                <w:sz w:val="23"/>
                <w:szCs w:val="23"/>
              </w:rPr>
              <w:t>15</w:t>
            </w:r>
          </w:p>
        </w:tc>
      </w:tr>
      <w:tr w14:paraId="47140E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jc w:val="center"/>
        </w:trPr>
        <w:tc>
          <w:tcPr>
            <w:tcW w:w="1575" w:type="dxa"/>
            <w:tcBorders>
              <w:top w:val="single" w:color="auto" w:sz="4" w:space="0"/>
              <w:left w:val="single" w:color="auto" w:sz="4" w:space="0"/>
              <w:bottom w:val="single" w:color="auto" w:sz="4" w:space="0"/>
              <w:right w:val="single" w:color="auto" w:sz="4" w:space="0"/>
            </w:tcBorders>
          </w:tcPr>
          <w:p w14:paraId="4CAE3F3C">
            <w:pPr>
              <w:spacing w:before="75" w:line="225" w:lineRule="auto"/>
              <w:jc w:val="center"/>
              <w:rPr>
                <w:rFonts w:ascii="仿宋" w:hAnsi="仿宋" w:eastAsia="仿宋" w:cs="仿宋"/>
                <w:spacing w:val="9"/>
                <w:sz w:val="23"/>
                <w:szCs w:val="23"/>
              </w:rPr>
            </w:pPr>
            <w:r>
              <w:rPr>
                <w:rFonts w:hint="eastAsia" w:ascii="仿宋" w:hAnsi="仿宋" w:eastAsia="仿宋" w:cs="仿宋"/>
                <w:spacing w:val="9"/>
                <w:sz w:val="23"/>
                <w:szCs w:val="23"/>
              </w:rPr>
              <w:t>合 计</w:t>
            </w:r>
          </w:p>
        </w:tc>
        <w:tc>
          <w:tcPr>
            <w:tcW w:w="6005" w:type="dxa"/>
            <w:tcBorders>
              <w:left w:val="single" w:color="auto" w:sz="4" w:space="0"/>
            </w:tcBorders>
          </w:tcPr>
          <w:p w14:paraId="6C735719">
            <w:pPr>
              <w:spacing w:before="153" w:line="323" w:lineRule="exact"/>
              <w:ind w:left="2699"/>
              <w:jc w:val="both"/>
              <w:rPr>
                <w:rFonts w:ascii="Times New Roman" w:hAnsi="Times New Roman" w:eastAsia="Times New Roman" w:cs="Times New Roman"/>
                <w:sz w:val="23"/>
                <w:szCs w:val="23"/>
              </w:rPr>
            </w:pPr>
            <w:r>
              <w:rPr>
                <w:rFonts w:ascii="Times New Roman" w:hAnsi="Times New Roman" w:eastAsia="Times New Roman" w:cs="Times New Roman"/>
                <w:spacing w:val="3"/>
                <w:position w:val="2"/>
                <w:sz w:val="23"/>
                <w:szCs w:val="23"/>
              </w:rPr>
              <w:t>/</w:t>
            </w:r>
          </w:p>
        </w:tc>
        <w:tc>
          <w:tcPr>
            <w:tcW w:w="630" w:type="dxa"/>
          </w:tcPr>
          <w:p w14:paraId="47FACA59">
            <w:pPr>
              <w:spacing w:before="238" w:line="194" w:lineRule="auto"/>
              <w:jc w:val="center"/>
              <w:rPr>
                <w:rFonts w:ascii="Times New Roman" w:hAnsi="Times New Roman" w:eastAsia="Times New Roman" w:cs="Times New Roman"/>
                <w:sz w:val="23"/>
                <w:szCs w:val="23"/>
              </w:rPr>
            </w:pPr>
            <w:r>
              <w:rPr>
                <w:rFonts w:ascii="Times New Roman" w:hAnsi="Times New Roman" w:eastAsia="Times New Roman" w:cs="Times New Roman"/>
                <w:spacing w:val="-6"/>
                <w:sz w:val="23"/>
                <w:szCs w:val="23"/>
              </w:rPr>
              <w:t>1</w:t>
            </w:r>
            <w:r>
              <w:rPr>
                <w:rFonts w:ascii="Times New Roman" w:hAnsi="Times New Roman" w:eastAsia="Times New Roman" w:cs="Times New Roman"/>
                <w:spacing w:val="-4"/>
                <w:sz w:val="23"/>
                <w:szCs w:val="23"/>
              </w:rPr>
              <w:t>00</w:t>
            </w:r>
          </w:p>
        </w:tc>
      </w:tr>
    </w:tbl>
    <w:p w14:paraId="57FCBC05">
      <w:pPr>
        <w:spacing w:before="74" w:line="225" w:lineRule="auto"/>
        <w:rPr>
          <w:rFonts w:ascii="仿宋" w:hAnsi="仿宋" w:eastAsia="仿宋" w:cs="仿宋"/>
          <w:sz w:val="23"/>
          <w:szCs w:val="23"/>
        </w:rPr>
      </w:pPr>
    </w:p>
    <w:sectPr>
      <w:pgSz w:w="11906" w:h="16839"/>
      <w:pgMar w:top="1115" w:right="1785" w:bottom="0" w:left="1785"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noPunctuationKerning w:val="1"/>
  <w:characterSpacingControl w:val="doNotCompress"/>
  <w:compat>
    <w:spaceForUL/>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FiM2M3NmZkMGVmYjY5NGMwOTY3ZDAzMzJjZTFhMWEifQ=="/>
  </w:docVars>
  <w:rsids>
    <w:rsidRoot w:val="00F94A3B"/>
    <w:rsid w:val="00203E9D"/>
    <w:rsid w:val="00240E7D"/>
    <w:rsid w:val="00420412"/>
    <w:rsid w:val="00441EDA"/>
    <w:rsid w:val="0058014B"/>
    <w:rsid w:val="00AE6193"/>
    <w:rsid w:val="00F94A3B"/>
    <w:rsid w:val="00FC24A1"/>
    <w:rsid w:val="03863E70"/>
    <w:rsid w:val="05DB66F5"/>
    <w:rsid w:val="0AE1478F"/>
    <w:rsid w:val="0B8A6045"/>
    <w:rsid w:val="0F3A4D6F"/>
    <w:rsid w:val="110A4568"/>
    <w:rsid w:val="12301B77"/>
    <w:rsid w:val="138C2F1F"/>
    <w:rsid w:val="13AB44DD"/>
    <w:rsid w:val="15E7303E"/>
    <w:rsid w:val="161D72FC"/>
    <w:rsid w:val="176D25F2"/>
    <w:rsid w:val="17BA0DC9"/>
    <w:rsid w:val="19F67FD6"/>
    <w:rsid w:val="1BD94E2F"/>
    <w:rsid w:val="1DB95116"/>
    <w:rsid w:val="1EC3670D"/>
    <w:rsid w:val="20210DD0"/>
    <w:rsid w:val="224D1F87"/>
    <w:rsid w:val="234A327A"/>
    <w:rsid w:val="23766282"/>
    <w:rsid w:val="259B60BF"/>
    <w:rsid w:val="289915C8"/>
    <w:rsid w:val="2B487B90"/>
    <w:rsid w:val="2C5C0035"/>
    <w:rsid w:val="2D637A10"/>
    <w:rsid w:val="30EB4247"/>
    <w:rsid w:val="32CD6714"/>
    <w:rsid w:val="37694DC9"/>
    <w:rsid w:val="3A5B3385"/>
    <w:rsid w:val="3ADB44C6"/>
    <w:rsid w:val="3B0F7D65"/>
    <w:rsid w:val="3E430B45"/>
    <w:rsid w:val="3FA145C0"/>
    <w:rsid w:val="40187F23"/>
    <w:rsid w:val="412B3EB4"/>
    <w:rsid w:val="423E0121"/>
    <w:rsid w:val="423E3B35"/>
    <w:rsid w:val="43065568"/>
    <w:rsid w:val="43D16176"/>
    <w:rsid w:val="4554734F"/>
    <w:rsid w:val="4671371A"/>
    <w:rsid w:val="476D76D5"/>
    <w:rsid w:val="487815A6"/>
    <w:rsid w:val="49973CAE"/>
    <w:rsid w:val="4DF0281D"/>
    <w:rsid w:val="50B26B67"/>
    <w:rsid w:val="522F7247"/>
    <w:rsid w:val="52B72FB6"/>
    <w:rsid w:val="562B7C58"/>
    <w:rsid w:val="567F3CCF"/>
    <w:rsid w:val="59917BD8"/>
    <w:rsid w:val="5C645C72"/>
    <w:rsid w:val="5C821E06"/>
    <w:rsid w:val="5D321724"/>
    <w:rsid w:val="5D950E0C"/>
    <w:rsid w:val="5F6F532A"/>
    <w:rsid w:val="60752398"/>
    <w:rsid w:val="61840B64"/>
    <w:rsid w:val="66B150DA"/>
    <w:rsid w:val="68672F58"/>
    <w:rsid w:val="6906620C"/>
    <w:rsid w:val="6C6C3CE0"/>
    <w:rsid w:val="6DA1151D"/>
    <w:rsid w:val="72972B37"/>
    <w:rsid w:val="7577036C"/>
    <w:rsid w:val="78E977D3"/>
    <w:rsid w:val="79E00D24"/>
    <w:rsid w:val="7A402EC5"/>
    <w:rsid w:val="7C921F30"/>
    <w:rsid w:val="7E6B2A38"/>
    <w:rsid w:val="7F35518A"/>
    <w:rsid w:val="7F4833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pPr>
    <w:rPr>
      <w:sz w:val="18"/>
      <w:szCs w:val="18"/>
    </w:rPr>
  </w:style>
  <w:style w:type="paragraph" w:styleId="3">
    <w:name w:val="header"/>
    <w:basedOn w:val="1"/>
    <w:link w:val="8"/>
    <w:qFormat/>
    <w:uiPriority w:val="0"/>
    <w:pPr>
      <w:pBdr>
        <w:bottom w:val="single" w:color="auto" w:sz="6" w:space="1"/>
      </w:pBdr>
      <w:tabs>
        <w:tab w:val="center" w:pos="4153"/>
        <w:tab w:val="right" w:pos="8306"/>
      </w:tabs>
      <w:jc w:val="center"/>
    </w:pPr>
    <w:rPr>
      <w:sz w:val="18"/>
      <w:szCs w:val="18"/>
    </w:rPr>
  </w:style>
  <w:style w:type="table" w:styleId="5">
    <w:name w:val="Table Grid"/>
    <w:basedOn w:val="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7">
    <w:name w:val="Table Normal"/>
    <w:unhideWhenUsed/>
    <w:qFormat/>
    <w:uiPriority w:val="0"/>
    <w:tblPr>
      <w:tblCellMar>
        <w:top w:w="0" w:type="dxa"/>
        <w:left w:w="0" w:type="dxa"/>
        <w:bottom w:w="0" w:type="dxa"/>
        <w:right w:w="0" w:type="dxa"/>
      </w:tblCellMar>
    </w:tblPr>
  </w:style>
  <w:style w:type="character" w:customStyle="1" w:styleId="8">
    <w:name w:val="页眉 Char"/>
    <w:basedOn w:val="6"/>
    <w:link w:val="3"/>
    <w:qFormat/>
    <w:uiPriority w:val="0"/>
    <w:rPr>
      <w:rFonts w:ascii="Arial" w:hAnsi="Arial" w:eastAsia="Arial" w:cs="Arial"/>
      <w:snapToGrid w:val="0"/>
      <w:color w:val="000000"/>
      <w:sz w:val="18"/>
      <w:szCs w:val="18"/>
    </w:rPr>
  </w:style>
  <w:style w:type="character" w:customStyle="1" w:styleId="9">
    <w:name w:val="页脚 Char"/>
    <w:basedOn w:val="6"/>
    <w:link w:val="2"/>
    <w:qFormat/>
    <w:uiPriority w:val="0"/>
    <w:rPr>
      <w:rFonts w:ascii="Arial" w:hAnsi="Arial" w:eastAsia="Arial" w:cs="Arial"/>
      <w:snapToGrid w:val="0"/>
      <w:color w:val="00000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771</Words>
  <Characters>798</Characters>
  <Lines>5</Lines>
  <Paragraphs>1</Paragraphs>
  <TotalTime>1</TotalTime>
  <ScaleCrop>false</ScaleCrop>
  <LinksUpToDate>false</LinksUpToDate>
  <CharactersWithSpaces>802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2023-06-09T16:50:00Z</dcterms:created>
  <dc:creator>微软用户</dc:creator>
  <cp:lastModifiedBy>乾益</cp:lastModifiedBy>
  <cp:lastPrinted>2024-11-14T07:17:00Z</cp:lastPrinted>
  <dcterms:modified xsi:type="dcterms:W3CDTF">2024-11-14T08:13:14Z</dcterms:modified>
  <dc:title>中国计量科学研究院东盟计量研究中心（二期工程）项目造价咨询服务采购代理机构遴选公告</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2023-06-13T00:11:59Z</vt:filetime>
  </property>
  <property fmtid="{D5CDD505-2E9C-101B-9397-08002B2CF9AE}" pid="4" name="KSOProductBuildVer">
    <vt:lpwstr>2052-12.1.0.18608</vt:lpwstr>
  </property>
  <property fmtid="{D5CDD505-2E9C-101B-9397-08002B2CF9AE}" pid="5" name="ICV">
    <vt:lpwstr>5B06B0CDF2F0413CB867949148416438_13</vt:lpwstr>
  </property>
</Properties>
</file>